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19"/>
          <w:szCs w:val="19"/>
          <w:shd w:val="clear" w:fill="FFFFFF"/>
        </w:rPr>
        <w:t>成都市新都区教育局下属事业单位面向部属重点师范院校考核招聘2016年应届优秀大学毕业生岗位分布情况表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W w:w="84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597"/>
        <w:gridCol w:w="305"/>
        <w:gridCol w:w="305"/>
        <w:gridCol w:w="451"/>
        <w:gridCol w:w="597"/>
        <w:gridCol w:w="5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成都市新都区教育局下属事业单位到部属重点师范院校考核招聘2016年应届优秀大学毕业生岗位分布情况表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（全日制普通高校毕业生）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单位：成都市新都区教育局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2015年11月3日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 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学科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  需求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91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各学科岗位分布情况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特教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一、普高教师岗位14个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新都一中(本部)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新都一中(城北)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新都二中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香城中学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升庵中学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二、初中教师岗位9个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新都四中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东湖中学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大丰中学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蜀龙学校（初中部）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北部商城初中（筹）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三、小学教师岗位21个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西街小学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谕亭小学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香城小学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汉城小学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桂林小学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蜀龙学校（小学部）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毗河小学（筹）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北部商城小学（筹）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四、特教教师岗位2个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特校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五、幼儿园教师岗位3个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新都一幼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机关幼儿园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新繁幼儿园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六、其他岗位1个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成人教育和教师管理服务中心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19"/>
          <w:szCs w:val="19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54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rowley</dc:creator>
  <cp:lastModifiedBy>rowley</cp:lastModifiedBy>
  <dcterms:modified xsi:type="dcterms:W3CDTF">2015-11-04T05:54:25Z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